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Forshaga kommunfullmäktige</w:t>
      </w:r>
    </w:p>
    <w:p>
      <w:pPr>
        <w:pStyle w:val="Heading1"/>
      </w:pPr>
      <w:r>
        <w:t xml:space="preserve">Tryggare Forshaga – fler kameror och ökad närvaro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Forshaga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Brottsligheten i Forshaga centrum har ökat enligt Brå-rapport 2024. Kommunen saknar heltäckande kamerabevakning på strategiska platser som torg och skolgårdar. Polisen har efterfrågat bättre tekniskt stöd. Moderaterna vill stärka det brottsförebyggande arbetet lokalt.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Forshaga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installera kameror på Forshaga torg, vid skolor och i industriområdet.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kommunen upprättar en samverkansöverenskommelse med Polisen om gemensam trygghetsrond.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trygghetsstrateg med ansvar för brottsförebyggande arbete anställs på halvtid.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resultatet av trygghetsarbetet redovisas årligen i kommunfullmäktige.</w:t>
      </w:r>
    </w:p>
    <w:p>
      <w:pPr>
        <w:spacing w:before="360"/>
      </w:pPr>
    </w:p>
    <w:p>
      <w:r>
        <w:t xml:space="preserve">Forshaga,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Forshaga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2026-06-06T01:48:21.759Z</dcterms:created>
  <dcterms:modified xsi:type="dcterms:W3CDTF">2026-06-06T01:48:21.759Z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